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CA100A" w:rsidRPr="00CA100A" w:rsidRDefault="00CA100A" w:rsidP="00CA100A">
      <w:pPr>
        <w:suppressAutoHyphens/>
        <w:snapToGrid w:val="0"/>
        <w:jc w:val="center"/>
        <w:rPr>
          <w:b/>
          <w:sz w:val="20"/>
          <w:szCs w:val="20"/>
          <w:lang w:eastAsia="ar-SA"/>
        </w:rPr>
      </w:pPr>
      <w:r w:rsidRPr="00CA100A">
        <w:rPr>
          <w:noProof/>
          <w:sz w:val="20"/>
          <w:szCs w:val="20"/>
        </w:rPr>
        <w:drawing>
          <wp:inline distT="0" distB="0" distL="0" distR="0" wp14:anchorId="70B84935" wp14:editId="68DD70AF">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CA100A" w:rsidRPr="00CA100A" w:rsidRDefault="00CA100A" w:rsidP="00CA100A">
      <w:pPr>
        <w:suppressAutoHyphens/>
        <w:jc w:val="center"/>
        <w:rPr>
          <w:b/>
          <w:sz w:val="20"/>
          <w:szCs w:val="20"/>
          <w:lang w:eastAsia="ar-SA"/>
        </w:rPr>
      </w:pPr>
      <w:r w:rsidRPr="00CA100A">
        <w:rPr>
          <w:b/>
          <w:sz w:val="20"/>
          <w:szCs w:val="20"/>
          <w:lang w:eastAsia="ar-SA"/>
        </w:rPr>
        <w:t xml:space="preserve">Муниципальное образование – городской округ город </w:t>
      </w:r>
      <w:proofErr w:type="spellStart"/>
      <w:r w:rsidRPr="00CA100A">
        <w:rPr>
          <w:b/>
          <w:sz w:val="20"/>
          <w:szCs w:val="20"/>
          <w:lang w:eastAsia="ar-SA"/>
        </w:rPr>
        <w:t>Югорск</w:t>
      </w:r>
      <w:proofErr w:type="spellEnd"/>
    </w:p>
    <w:p w:rsidR="00CA100A" w:rsidRPr="00CA100A" w:rsidRDefault="00CA100A" w:rsidP="00CA100A">
      <w:pPr>
        <w:keepNext/>
        <w:tabs>
          <w:tab w:val="left" w:pos="0"/>
        </w:tabs>
        <w:suppressAutoHyphens/>
        <w:jc w:val="center"/>
        <w:outlineLvl w:val="1"/>
        <w:rPr>
          <w:b/>
          <w:szCs w:val="20"/>
          <w:lang w:eastAsia="ar-SA"/>
        </w:rPr>
      </w:pPr>
      <w:r w:rsidRPr="00CA100A">
        <w:rPr>
          <w:b/>
          <w:szCs w:val="20"/>
          <w:lang w:eastAsia="ar-SA"/>
        </w:rPr>
        <w:t xml:space="preserve">Администрация города </w:t>
      </w:r>
      <w:proofErr w:type="spellStart"/>
      <w:r w:rsidRPr="00CA100A">
        <w:rPr>
          <w:b/>
          <w:szCs w:val="20"/>
          <w:lang w:eastAsia="ar-SA"/>
        </w:rPr>
        <w:t>Югорска</w:t>
      </w:r>
      <w:proofErr w:type="spellEnd"/>
    </w:p>
    <w:p w:rsidR="00CA100A" w:rsidRPr="00CA100A" w:rsidRDefault="00CA100A" w:rsidP="00CA100A">
      <w:pPr>
        <w:suppressAutoHyphens/>
        <w:jc w:val="center"/>
        <w:rPr>
          <w:b/>
          <w:sz w:val="20"/>
          <w:szCs w:val="20"/>
          <w:lang w:eastAsia="ar-SA"/>
        </w:rPr>
      </w:pPr>
    </w:p>
    <w:p w:rsidR="00CA100A" w:rsidRPr="00CA100A" w:rsidRDefault="00CA100A" w:rsidP="00CA100A">
      <w:pPr>
        <w:suppressAutoHyphens/>
        <w:jc w:val="center"/>
        <w:rPr>
          <w:b/>
          <w:sz w:val="16"/>
          <w:szCs w:val="16"/>
          <w:lang w:eastAsia="ar-SA"/>
        </w:rPr>
      </w:pPr>
      <w:r w:rsidRPr="00CA100A">
        <w:rPr>
          <w:b/>
          <w:sz w:val="16"/>
          <w:szCs w:val="16"/>
          <w:lang w:eastAsia="ar-SA"/>
        </w:rPr>
        <w:t xml:space="preserve">40 лет Победы ул., д. 11, г. </w:t>
      </w:r>
      <w:proofErr w:type="spellStart"/>
      <w:r w:rsidRPr="00CA100A">
        <w:rPr>
          <w:b/>
          <w:sz w:val="16"/>
          <w:szCs w:val="16"/>
          <w:lang w:eastAsia="ar-SA"/>
        </w:rPr>
        <w:t>Югорск</w:t>
      </w:r>
      <w:proofErr w:type="spellEnd"/>
      <w:r w:rsidRPr="00CA100A">
        <w:rPr>
          <w:b/>
          <w:sz w:val="16"/>
          <w:szCs w:val="16"/>
          <w:lang w:eastAsia="ar-SA"/>
        </w:rPr>
        <w:t xml:space="preserve">, 628260, </w:t>
      </w:r>
    </w:p>
    <w:p w:rsidR="00CA100A" w:rsidRPr="00CA100A" w:rsidRDefault="00CA100A" w:rsidP="00CA100A">
      <w:pPr>
        <w:suppressAutoHyphens/>
        <w:jc w:val="center"/>
        <w:rPr>
          <w:b/>
          <w:sz w:val="16"/>
          <w:szCs w:val="16"/>
          <w:lang w:eastAsia="ar-SA"/>
        </w:rPr>
      </w:pPr>
      <w:r w:rsidRPr="00CA100A">
        <w:rPr>
          <w:b/>
          <w:sz w:val="16"/>
          <w:szCs w:val="16"/>
          <w:lang w:eastAsia="ar-SA"/>
        </w:rPr>
        <w:t>Ханты-Мансийский автономный округ – Югра, Тюменская область</w:t>
      </w:r>
    </w:p>
    <w:p w:rsidR="00CA100A" w:rsidRPr="00CA100A" w:rsidRDefault="00CA100A" w:rsidP="00CA100A">
      <w:pPr>
        <w:suppressAutoHyphens/>
        <w:jc w:val="center"/>
        <w:rPr>
          <w:sz w:val="18"/>
          <w:szCs w:val="18"/>
          <w:lang w:eastAsia="ar-SA"/>
        </w:rPr>
      </w:pPr>
      <w:r w:rsidRPr="00CA100A">
        <w:rPr>
          <w:sz w:val="18"/>
          <w:szCs w:val="18"/>
          <w:lang w:eastAsia="ar-SA"/>
        </w:rPr>
        <w:t xml:space="preserve">Тел./факс (34675) 5-00-60 </w:t>
      </w:r>
      <w:r w:rsidRPr="00CA100A">
        <w:rPr>
          <w:sz w:val="18"/>
          <w:szCs w:val="18"/>
          <w:lang w:eastAsia="ar-SA"/>
        </w:rPr>
        <w:tab/>
      </w:r>
      <w:r w:rsidRPr="00CA100A">
        <w:rPr>
          <w:sz w:val="18"/>
          <w:szCs w:val="18"/>
          <w:lang w:eastAsia="ar-SA"/>
        </w:rPr>
        <w:tab/>
      </w:r>
      <w:r w:rsidRPr="00CA100A">
        <w:rPr>
          <w:sz w:val="18"/>
          <w:szCs w:val="18"/>
          <w:lang w:eastAsia="ar-SA"/>
        </w:rPr>
        <w:tab/>
      </w:r>
      <w:r w:rsidRPr="00CA100A">
        <w:rPr>
          <w:sz w:val="18"/>
          <w:szCs w:val="18"/>
          <w:lang w:eastAsia="ar-SA"/>
        </w:rPr>
        <w:tab/>
      </w:r>
      <w:r w:rsidRPr="00CA100A">
        <w:rPr>
          <w:sz w:val="18"/>
          <w:szCs w:val="18"/>
          <w:lang w:eastAsia="ar-SA"/>
        </w:rPr>
        <w:tab/>
      </w:r>
      <w:r w:rsidRPr="00CA100A">
        <w:rPr>
          <w:sz w:val="18"/>
          <w:szCs w:val="18"/>
          <w:lang w:eastAsia="ar-SA"/>
        </w:rPr>
        <w:tab/>
      </w:r>
      <w:r w:rsidRPr="00CA100A">
        <w:rPr>
          <w:sz w:val="18"/>
          <w:szCs w:val="18"/>
          <w:lang w:eastAsia="ar-SA"/>
        </w:rPr>
        <w:tab/>
      </w:r>
      <w:r w:rsidRPr="00CA100A">
        <w:rPr>
          <w:sz w:val="18"/>
          <w:szCs w:val="18"/>
          <w:lang w:eastAsia="ar-SA"/>
        </w:rPr>
        <w:tab/>
      </w:r>
      <w:r w:rsidRPr="00CA100A">
        <w:rPr>
          <w:sz w:val="18"/>
          <w:szCs w:val="18"/>
          <w:lang w:eastAsia="ar-SA"/>
        </w:rPr>
        <w:tab/>
      </w:r>
      <w:r w:rsidRPr="00CA100A">
        <w:rPr>
          <w:sz w:val="18"/>
          <w:szCs w:val="18"/>
          <w:lang w:val="fr-FR" w:eastAsia="ar-SA"/>
        </w:rPr>
        <w:t xml:space="preserve">E-mail: </w:t>
      </w:r>
      <w:proofErr w:type="spellStart"/>
      <w:r w:rsidRPr="00CA100A">
        <w:rPr>
          <w:sz w:val="20"/>
          <w:szCs w:val="20"/>
          <w:lang w:val="en-US" w:eastAsia="ar-SA"/>
        </w:rPr>
        <w:t>adm</w:t>
      </w:r>
      <w:proofErr w:type="spellEnd"/>
      <w:r w:rsidRPr="00CA100A">
        <w:rPr>
          <w:sz w:val="20"/>
          <w:szCs w:val="20"/>
          <w:lang w:eastAsia="ar-SA"/>
        </w:rPr>
        <w:t>@</w:t>
      </w:r>
      <w:proofErr w:type="spellStart"/>
      <w:r w:rsidRPr="00CA100A">
        <w:rPr>
          <w:sz w:val="20"/>
          <w:szCs w:val="20"/>
          <w:lang w:val="en-US" w:eastAsia="ar-SA"/>
        </w:rPr>
        <w:t>ugorsk</w:t>
      </w:r>
      <w:proofErr w:type="spellEnd"/>
      <w:r w:rsidRPr="00CA100A">
        <w:rPr>
          <w:sz w:val="20"/>
          <w:szCs w:val="20"/>
          <w:lang w:eastAsia="ar-SA"/>
        </w:rPr>
        <w:t>.</w:t>
      </w:r>
      <w:proofErr w:type="spellStart"/>
      <w:r w:rsidRPr="00CA100A">
        <w:rPr>
          <w:sz w:val="20"/>
          <w:szCs w:val="20"/>
          <w:lang w:val="en-US" w:eastAsia="ar-SA"/>
        </w:rPr>
        <w:t>ru</w:t>
      </w:r>
      <w:proofErr w:type="spellEnd"/>
      <w:r w:rsidRPr="00CA100A">
        <w:rPr>
          <w:sz w:val="18"/>
          <w:szCs w:val="18"/>
          <w:lang w:val="fr-FR" w:eastAsia="ar-SA"/>
        </w:rPr>
        <w:t xml:space="preserve"> </w:t>
      </w:r>
    </w:p>
    <w:p w:rsidR="00CA100A" w:rsidRPr="00CA100A" w:rsidRDefault="00CA100A" w:rsidP="00CA100A">
      <w:pPr>
        <w:rPr>
          <w:rFonts w:eastAsiaTheme="minorHAnsi"/>
          <w:szCs w:val="22"/>
          <w:u w:val="single"/>
          <w:lang w:eastAsia="en-US"/>
        </w:rPr>
      </w:pPr>
    </w:p>
    <w:p w:rsidR="00CA100A" w:rsidRDefault="00CA100A" w:rsidP="001335BA">
      <w:pPr>
        <w:pStyle w:val="ConsPlusNormal"/>
        <w:widowControl/>
        <w:ind w:firstLine="0"/>
        <w:jc w:val="center"/>
        <w:outlineLvl w:val="0"/>
        <w:rPr>
          <w:rFonts w:ascii="Times New Roman" w:hAnsi="Times New Roman" w:cs="Times New Roman"/>
          <w:b/>
          <w:sz w:val="24"/>
          <w:szCs w:val="24"/>
        </w:rPr>
      </w:pPr>
    </w:p>
    <w:p w:rsidR="001335BA" w:rsidRDefault="001335BA" w:rsidP="00751518">
      <w:pPr>
        <w:pStyle w:val="ConsPlusNormal"/>
        <w:widowControl/>
        <w:ind w:right="283"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r w:rsidR="00CA100A">
        <w:rPr>
          <w:rFonts w:ascii="Times New Roman" w:hAnsi="Times New Roman" w:cs="Times New Roman"/>
          <w:b/>
          <w:sz w:val="24"/>
          <w:szCs w:val="24"/>
        </w:rPr>
        <w:t>№ 0187300005816000029</w:t>
      </w:r>
    </w:p>
    <w:p w:rsidR="00CA100A" w:rsidRPr="00CA100A" w:rsidRDefault="00B85AA1" w:rsidP="00CA100A">
      <w:pPr>
        <w:autoSpaceDE w:val="0"/>
        <w:autoSpaceDN w:val="0"/>
        <w:adjustRightInd w:val="0"/>
        <w:ind w:left="142"/>
        <w:jc w:val="center"/>
      </w:pPr>
      <w:r w:rsidRPr="00B85AA1">
        <w:t xml:space="preserve">на право заключения муниципального контракта </w:t>
      </w:r>
      <w:r w:rsidR="00CA100A" w:rsidRPr="00CA100A">
        <w:t>на оказание образовательных услуг по дополнительной профессиональной программе повышения квалификации «Профилактика коррупционных правонарушений в органах местного самоуправления</w:t>
      </w:r>
      <w:r w:rsidR="00CA100A" w:rsidRPr="00CA100A">
        <w:rPr>
          <w:b/>
        </w:rPr>
        <w:t>»</w:t>
      </w:r>
    </w:p>
    <w:p w:rsidR="00A10AA0" w:rsidRDefault="00A10AA0" w:rsidP="008C5E64">
      <w:pPr>
        <w:tabs>
          <w:tab w:val="left" w:pos="4111"/>
        </w:tabs>
        <w:ind w:right="5244"/>
        <w:jc w:val="both"/>
      </w:pPr>
    </w:p>
    <w:p w:rsidR="00CA100A" w:rsidRPr="00CA100A" w:rsidRDefault="00CA100A" w:rsidP="00CA100A">
      <w:pPr>
        <w:ind w:firstLine="720"/>
        <w:jc w:val="both"/>
      </w:pPr>
      <w:r w:rsidRPr="00CA100A">
        <w:t>В соответствии с ч.6.ст. 65 Федерального закона от 05.04.2013 № 44-ФЗ, на основании Постановления Правительства РФ от 29.12.2015 № 1457 «</w:t>
      </w:r>
      <w:hyperlink r:id="rId8" w:tgtFrame="_" w:history="1">
        <w:r w:rsidRPr="00CA100A">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hyperlink>
      <w:r w:rsidRPr="00CA100A">
        <w:t>, принятого во исполнение подпункта «б» пункта 1 Указа Президента РФ от 28.11.2015 № 583,</w:t>
      </w:r>
      <w:r>
        <w:t xml:space="preserve"> </w:t>
      </w:r>
      <w:r w:rsidRPr="00CA100A">
        <w:t>внести изменения в извещение и документацию об аукционе в электронной форме, а именно:</w:t>
      </w:r>
    </w:p>
    <w:p w:rsidR="00CA100A" w:rsidRDefault="00CA100A" w:rsidP="00CA100A">
      <w:pPr>
        <w:jc w:val="both"/>
        <w:rPr>
          <w:b/>
        </w:rPr>
      </w:pPr>
    </w:p>
    <w:p w:rsidR="00CA100A" w:rsidRPr="00CA100A" w:rsidRDefault="00CA100A" w:rsidP="00CA100A">
      <w:pPr>
        <w:jc w:val="both"/>
        <w:rPr>
          <w:b/>
        </w:rPr>
      </w:pPr>
      <w:r w:rsidRPr="00CA100A">
        <w:rPr>
          <w:b/>
        </w:rPr>
        <w:t>1. Изменения в извещение о проведении аукциона в электронной форме:</w:t>
      </w:r>
    </w:p>
    <w:p w:rsidR="00CA100A" w:rsidRPr="00CA100A" w:rsidRDefault="00CA100A" w:rsidP="00CA100A">
      <w:pPr>
        <w:jc w:val="both"/>
      </w:pPr>
      <w:r w:rsidRPr="00CA100A">
        <w:t>1.1. Пункт 1</w:t>
      </w:r>
      <w:r>
        <w:t>6</w:t>
      </w:r>
      <w:r w:rsidRPr="00CA100A">
        <w:t xml:space="preserve"> – слова «до 10 часов 00 минут «</w:t>
      </w:r>
      <w:r w:rsidRPr="00CA100A">
        <w:rPr>
          <w:u w:val="single"/>
        </w:rPr>
        <w:t>12</w:t>
      </w:r>
      <w:r w:rsidRPr="00CA100A">
        <w:t>» февраля 2016 года» заменить словами «до 10 часов 00 минут «</w:t>
      </w:r>
      <w:r w:rsidR="00751518">
        <w:rPr>
          <w:u w:val="single"/>
        </w:rPr>
        <w:t>19</w:t>
      </w:r>
      <w:r w:rsidRPr="00CA100A">
        <w:t>» февраля 2016 года».</w:t>
      </w:r>
    </w:p>
    <w:p w:rsidR="00CA100A" w:rsidRPr="00CA100A" w:rsidRDefault="00CA100A" w:rsidP="00CA100A">
      <w:pPr>
        <w:jc w:val="both"/>
      </w:pPr>
      <w:r w:rsidRPr="00CA100A">
        <w:t>1.2. Пункт 1</w:t>
      </w:r>
      <w:r>
        <w:t>8</w:t>
      </w:r>
      <w:r w:rsidRPr="00CA100A">
        <w:t xml:space="preserve"> – слова «</w:t>
      </w:r>
      <w:r w:rsidRPr="00CA100A">
        <w:rPr>
          <w:u w:val="single"/>
        </w:rPr>
        <w:t>16</w:t>
      </w:r>
      <w:r w:rsidRPr="00CA100A">
        <w:t>» февраля 2016 года» заменить словами «</w:t>
      </w:r>
      <w:r w:rsidR="00751518">
        <w:rPr>
          <w:u w:val="single"/>
        </w:rPr>
        <w:t>25</w:t>
      </w:r>
      <w:r w:rsidRPr="00CA100A">
        <w:t>» февраля 2016 года».</w:t>
      </w:r>
    </w:p>
    <w:p w:rsidR="00CA100A" w:rsidRPr="00CA100A" w:rsidRDefault="00CA100A" w:rsidP="00CA100A">
      <w:pPr>
        <w:jc w:val="both"/>
      </w:pPr>
      <w:r w:rsidRPr="00CA100A">
        <w:t xml:space="preserve">1.3. Пункт </w:t>
      </w:r>
      <w:r>
        <w:t>19</w:t>
      </w:r>
      <w:r w:rsidRPr="00CA100A">
        <w:t xml:space="preserve"> – слова «</w:t>
      </w:r>
      <w:r w:rsidRPr="00CA100A">
        <w:rPr>
          <w:u w:val="single"/>
        </w:rPr>
        <w:t>19</w:t>
      </w:r>
      <w:r>
        <w:t>»</w:t>
      </w:r>
      <w:r w:rsidRPr="00CA100A">
        <w:t xml:space="preserve"> февраля 2016 года» заменить словами «</w:t>
      </w:r>
      <w:r w:rsidR="00751518">
        <w:rPr>
          <w:u w:val="single"/>
        </w:rPr>
        <w:t>29</w:t>
      </w:r>
      <w:r w:rsidRPr="00CA100A">
        <w:t>» февраля 2016 года».</w:t>
      </w:r>
    </w:p>
    <w:p w:rsidR="00CA100A" w:rsidRPr="00CA100A" w:rsidRDefault="00CA100A" w:rsidP="00CA100A">
      <w:pPr>
        <w:spacing w:before="120"/>
        <w:ind w:firstLine="426"/>
        <w:jc w:val="both"/>
      </w:pPr>
      <w:r w:rsidRPr="00CA100A">
        <w:t>1.4. Пункт 2</w:t>
      </w:r>
      <w:r>
        <w:t>4</w:t>
      </w:r>
      <w:r w:rsidRPr="00CA100A">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изложить в новой редакции:</w:t>
      </w:r>
    </w:p>
    <w:p w:rsidR="00CA100A" w:rsidRPr="00CA100A" w:rsidRDefault="00CA100A" w:rsidP="00CA100A">
      <w:pPr>
        <w:spacing w:before="120"/>
        <w:ind w:firstLine="708"/>
        <w:jc w:val="both"/>
      </w:pPr>
      <w:r w:rsidRPr="00CA100A">
        <w:t>«В соответствии с Постановлением Правительства РФ от 29.12.2015 № 1457 «</w:t>
      </w:r>
      <w:hyperlink r:id="rId9" w:tgtFrame="_" w:history="1">
        <w:r w:rsidRPr="00CA100A">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hyperlink>
      <w:r w:rsidRPr="00CA100A">
        <w:t>», принятого во исполнение подпункта «б» пункта 1 Указа Президента РФ от 28.11.2015 №</w:t>
      </w:r>
      <w:r w:rsidR="00A064E7">
        <w:t xml:space="preserve"> 583»:</w:t>
      </w:r>
      <w:bookmarkStart w:id="0" w:name="_GoBack"/>
      <w:bookmarkEnd w:id="0"/>
      <w:r w:rsidR="00A064E7">
        <w:t xml:space="preserve"> </w:t>
      </w:r>
      <w:r w:rsidRPr="00CA100A">
        <w:t xml:space="preserve"> </w:t>
      </w:r>
      <w:r w:rsidRPr="00CA100A">
        <w:rPr>
          <w:b/>
        </w:rPr>
        <w:t>Установлено</w:t>
      </w:r>
      <w:r w:rsidRPr="00CA100A">
        <w:t>;</w:t>
      </w:r>
    </w:p>
    <w:p w:rsidR="00CA100A" w:rsidRPr="00CA100A" w:rsidRDefault="00CA100A" w:rsidP="00CA100A">
      <w:pPr>
        <w:autoSpaceDE w:val="0"/>
        <w:autoSpaceDN w:val="0"/>
        <w:adjustRightInd w:val="0"/>
        <w:spacing w:before="108" w:after="108"/>
        <w:jc w:val="both"/>
        <w:outlineLvl w:val="0"/>
        <w:rPr>
          <w:rFonts w:eastAsia="Calibri"/>
          <w:b/>
          <w:bCs/>
          <w:lang w:eastAsia="en-US"/>
        </w:rPr>
      </w:pPr>
      <w:r w:rsidRPr="00CA100A">
        <w:rPr>
          <w:rFonts w:eastAsia="Calibri"/>
          <w:bCs/>
          <w:lang w:eastAsia="en-US"/>
        </w:rPr>
        <w:t xml:space="preserve">           </w:t>
      </w:r>
      <w:r w:rsidRPr="00CA100A">
        <w:rPr>
          <w:rFonts w:eastAsia="Calibri"/>
          <w:bCs/>
          <w:color w:val="26282F"/>
          <w:lang w:eastAsia="en-US"/>
        </w:rPr>
        <w:t>В соответствии с</w:t>
      </w:r>
      <w:r w:rsidRPr="00CA100A">
        <w:rPr>
          <w:rFonts w:eastAsia="Calibri"/>
          <w:b/>
          <w:bCs/>
          <w:color w:val="26282F"/>
          <w:lang w:eastAsia="en-US"/>
        </w:rPr>
        <w:t xml:space="preserve"> </w:t>
      </w:r>
      <w:r w:rsidRPr="00CA100A">
        <w:rPr>
          <w:rFonts w:eastAsia="Calibri"/>
          <w:bCs/>
          <w:lang w:eastAsia="en-US"/>
        </w:rPr>
        <w:t xml:space="preserve">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CA100A">
        <w:rPr>
          <w:rFonts w:eastAsia="Calibri"/>
          <w:b/>
          <w:bCs/>
          <w:lang w:eastAsia="en-US"/>
        </w:rPr>
        <w:t>Не установлено;</w:t>
      </w:r>
    </w:p>
    <w:p w:rsidR="00CA100A" w:rsidRDefault="00CA100A" w:rsidP="00CA100A">
      <w:pPr>
        <w:autoSpaceDE w:val="0"/>
        <w:autoSpaceDN w:val="0"/>
        <w:adjustRightInd w:val="0"/>
        <w:spacing w:before="108" w:after="108"/>
        <w:jc w:val="both"/>
        <w:outlineLvl w:val="0"/>
        <w:rPr>
          <w:rFonts w:eastAsia="Calibri"/>
          <w:b/>
          <w:bCs/>
          <w:color w:val="26282F"/>
          <w:lang w:eastAsia="en-US"/>
        </w:rPr>
      </w:pPr>
      <w:r w:rsidRPr="00CA100A">
        <w:rPr>
          <w:rFonts w:eastAsia="Calibri"/>
          <w:bCs/>
          <w:color w:val="26282F"/>
          <w:lang w:eastAsia="en-US"/>
        </w:rPr>
        <w:t xml:space="preserve">        </w:t>
      </w:r>
      <w:r w:rsidRPr="00CA100A">
        <w:rPr>
          <w:b/>
        </w:rPr>
        <w:t xml:space="preserve"> </w:t>
      </w:r>
      <w:r w:rsidRPr="00CA100A">
        <w:t>В соответствии с</w:t>
      </w:r>
      <w:r w:rsidRPr="00CA100A">
        <w:rPr>
          <w:rFonts w:eastAsia="Calibri"/>
          <w:bCs/>
          <w:color w:val="26282F"/>
          <w:lang w:eastAsia="en-US"/>
        </w:rPr>
        <w:t xml:space="preserve">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A100A">
        <w:rPr>
          <w:rFonts w:eastAsia="Calibri"/>
          <w:b/>
          <w:bCs/>
          <w:color w:val="26282F"/>
          <w:lang w:eastAsia="en-US"/>
        </w:rPr>
        <w:t>Не установлено</w:t>
      </w:r>
      <w:r w:rsidR="00751518">
        <w:rPr>
          <w:rFonts w:eastAsia="Calibri"/>
          <w:b/>
          <w:bCs/>
          <w:color w:val="26282F"/>
          <w:lang w:eastAsia="en-US"/>
        </w:rPr>
        <w:t>»;</w:t>
      </w:r>
    </w:p>
    <w:p w:rsidR="00751518" w:rsidRPr="00542B89" w:rsidRDefault="00751518" w:rsidP="00EF113F">
      <w:pPr>
        <w:autoSpaceDE w:val="0"/>
        <w:autoSpaceDN w:val="0"/>
        <w:adjustRightInd w:val="0"/>
        <w:spacing w:before="108" w:after="108"/>
        <w:jc w:val="both"/>
        <w:outlineLvl w:val="0"/>
        <w:rPr>
          <w:rFonts w:eastAsia="Calibri"/>
          <w:bCs/>
          <w:lang w:eastAsia="en-US"/>
        </w:rPr>
      </w:pPr>
      <w:r w:rsidRPr="00542B89">
        <w:rPr>
          <w:rFonts w:eastAsia="Calibri"/>
          <w:lang w:eastAsia="en-US"/>
        </w:rPr>
        <w:t xml:space="preserve">         В соответствии с </w:t>
      </w:r>
      <w:r w:rsidRPr="00542B89">
        <w:t xml:space="preserve">Приказом Министерства экономического развития РФ от 25 марта 2014 г. № 155 "Об условиях допуска товаров, происходящих из иностранных государств, для </w:t>
      </w:r>
      <w:r w:rsidRPr="00542B89">
        <w:lastRenderedPageBreak/>
        <w:t xml:space="preserve">целей осуществления закупок товаров, работ, услуг для обеспечения государственных и муниципальных нужд": </w:t>
      </w:r>
      <w:r w:rsidRPr="00542B89">
        <w:rPr>
          <w:b/>
        </w:rPr>
        <w:t>Не установлено</w:t>
      </w:r>
      <w:r w:rsidR="00DA5EF2" w:rsidRPr="00542B89">
        <w:t>».</w:t>
      </w:r>
    </w:p>
    <w:p w:rsidR="00CA100A" w:rsidRPr="00CA100A" w:rsidRDefault="00CA100A" w:rsidP="00CA100A">
      <w:pPr>
        <w:jc w:val="both"/>
        <w:rPr>
          <w:b/>
        </w:rPr>
      </w:pPr>
      <w:r w:rsidRPr="00CA100A">
        <w:rPr>
          <w:b/>
        </w:rPr>
        <w:t xml:space="preserve">2. Изменения в документацию об аукционе в электронной форме в часть </w:t>
      </w:r>
      <w:r w:rsidRPr="00CA100A">
        <w:rPr>
          <w:b/>
          <w:lang w:val="en-US"/>
        </w:rPr>
        <w:t>I</w:t>
      </w:r>
      <w:r w:rsidRPr="00CA100A">
        <w:rPr>
          <w:b/>
        </w:rPr>
        <w:t xml:space="preserve"> «Сведения о проводимом аукционе в электронной форме»:</w:t>
      </w:r>
    </w:p>
    <w:p w:rsidR="00CA100A" w:rsidRPr="00CA100A" w:rsidRDefault="00CA100A" w:rsidP="00CA100A">
      <w:pPr>
        <w:jc w:val="both"/>
      </w:pPr>
      <w:r w:rsidRPr="00CA100A">
        <w:t>2.1.</w:t>
      </w:r>
      <w:r w:rsidRPr="00CA100A">
        <w:tab/>
        <w:t>Пункт 19 слова «дата окончания предоставления разъяснений положений документации об аукционе «</w:t>
      </w:r>
      <w:r w:rsidR="008A1652">
        <w:t>10</w:t>
      </w:r>
      <w:r w:rsidRPr="00CA100A">
        <w:t xml:space="preserve"> февраля</w:t>
      </w:r>
      <w:r w:rsidR="00A064E7">
        <w:t xml:space="preserve"> 2016 года</w:t>
      </w:r>
      <w:r w:rsidRPr="00CA100A">
        <w:t>»   заменить словами  «</w:t>
      </w:r>
      <w:r w:rsidR="00751518">
        <w:rPr>
          <w:u w:val="single"/>
        </w:rPr>
        <w:t>17</w:t>
      </w:r>
      <w:r w:rsidRPr="00CA100A">
        <w:t xml:space="preserve">» февраля 2016 года. </w:t>
      </w:r>
    </w:p>
    <w:p w:rsidR="00CA100A" w:rsidRPr="00CA100A" w:rsidRDefault="00CA100A" w:rsidP="00CA100A">
      <w:pPr>
        <w:jc w:val="both"/>
      </w:pPr>
      <w:r w:rsidRPr="00CA100A">
        <w:t>2.2.</w:t>
      </w:r>
      <w:r w:rsidRPr="00CA100A">
        <w:tab/>
        <w:t>Пункт 20 - слова «до 10 часов 00 минут «</w:t>
      </w:r>
      <w:r w:rsidR="00751518">
        <w:t>12</w:t>
      </w:r>
      <w:r w:rsidRPr="00CA100A">
        <w:t>» февраля 2016 года» заменить словами «до 10 часов 00 минут «</w:t>
      </w:r>
      <w:r w:rsidR="00751518">
        <w:rPr>
          <w:u w:val="single"/>
        </w:rPr>
        <w:t>19</w:t>
      </w:r>
      <w:r w:rsidRPr="00CA100A">
        <w:t>» февраля 2016 года».</w:t>
      </w:r>
    </w:p>
    <w:p w:rsidR="00CA100A" w:rsidRPr="00CA100A" w:rsidRDefault="00CA100A" w:rsidP="00CA100A">
      <w:pPr>
        <w:jc w:val="both"/>
      </w:pPr>
      <w:r w:rsidRPr="00CA100A">
        <w:t>2.3.</w:t>
      </w:r>
      <w:r w:rsidRPr="00CA100A">
        <w:tab/>
        <w:t>Пункт 21 - слова «1</w:t>
      </w:r>
      <w:r w:rsidR="008A1652">
        <w:t>6</w:t>
      </w:r>
      <w:r w:rsidRPr="00CA100A">
        <w:t>» февраля 2016 года» заменить словами «</w:t>
      </w:r>
      <w:r w:rsidR="00751518" w:rsidRPr="00751518">
        <w:rPr>
          <w:u w:val="single"/>
        </w:rPr>
        <w:t>25</w:t>
      </w:r>
      <w:r w:rsidRPr="00CA100A">
        <w:t>» февраля 2016 года».</w:t>
      </w:r>
    </w:p>
    <w:p w:rsidR="00CA100A" w:rsidRDefault="00CA100A" w:rsidP="00CA100A">
      <w:pPr>
        <w:jc w:val="both"/>
      </w:pPr>
      <w:r w:rsidRPr="00CA100A">
        <w:t>2.4. Пункт 22 слова «1</w:t>
      </w:r>
      <w:r w:rsidR="008A1652">
        <w:t>9</w:t>
      </w:r>
      <w:r w:rsidRPr="00CA100A">
        <w:t xml:space="preserve"> февраля 2016 года» заменить словами «</w:t>
      </w:r>
      <w:r w:rsidR="00751518" w:rsidRPr="00751518">
        <w:rPr>
          <w:u w:val="single"/>
        </w:rPr>
        <w:t>29</w:t>
      </w:r>
      <w:r w:rsidRPr="00CA100A">
        <w:t>» февраля 2016 года».</w:t>
      </w:r>
    </w:p>
    <w:p w:rsidR="008A1652" w:rsidRDefault="008A1652" w:rsidP="008A1652">
      <w:pPr>
        <w:suppressAutoHyphens/>
        <w:ind w:left="33" w:firstLine="142"/>
      </w:pPr>
      <w:r>
        <w:t xml:space="preserve">2.5. </w:t>
      </w:r>
      <w:proofErr w:type="spellStart"/>
      <w:r w:rsidR="00DA5EF2">
        <w:t>Пп</w:t>
      </w:r>
      <w:proofErr w:type="spellEnd"/>
      <w:r w:rsidR="00DA5EF2">
        <w:t>. 6) п</w:t>
      </w:r>
      <w:r>
        <w:t>ункт</w:t>
      </w:r>
      <w:r w:rsidR="00DA5EF2">
        <w:t>а</w:t>
      </w:r>
      <w:r>
        <w:t xml:space="preserve"> 23</w:t>
      </w:r>
      <w:r w:rsidR="00F77690">
        <w:t xml:space="preserve"> </w:t>
      </w:r>
      <w:r w:rsidRPr="00CA100A">
        <w:t>части I «Сведения  о проводимом аукционе в электронной форме» документации об аукционе</w:t>
      </w:r>
      <w:r w:rsidR="00F77690">
        <w:t xml:space="preserve"> «</w:t>
      </w:r>
      <w:r w:rsidR="00F77690" w:rsidRPr="005F2F8D">
        <w:t>Требования к содержанию и составу заявки на участие в электронном аукционе</w:t>
      </w:r>
      <w:r w:rsidR="00F77690">
        <w:t>» читать в новой редакции:</w:t>
      </w:r>
    </w:p>
    <w:p w:rsidR="00F77690" w:rsidRDefault="00F77690" w:rsidP="008A1652">
      <w:pPr>
        <w:suppressAutoHyphens/>
        <w:ind w:left="33"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873"/>
        <w:gridCol w:w="6460"/>
      </w:tblGrid>
      <w:tr w:rsidR="00F77690" w:rsidRPr="00CA100A" w:rsidTr="00751518">
        <w:tc>
          <w:tcPr>
            <w:tcW w:w="675" w:type="dxa"/>
            <w:shd w:val="clear" w:color="auto" w:fill="auto"/>
          </w:tcPr>
          <w:p w:rsidR="00F77690" w:rsidRPr="00CA100A" w:rsidRDefault="00F77690" w:rsidP="00CE1BFC">
            <w:pPr>
              <w:jc w:val="both"/>
            </w:pPr>
            <w:r>
              <w:t>23</w:t>
            </w:r>
            <w:r w:rsidRPr="00CA100A">
              <w:t>.</w:t>
            </w:r>
          </w:p>
        </w:tc>
        <w:tc>
          <w:tcPr>
            <w:tcW w:w="2977" w:type="dxa"/>
            <w:shd w:val="clear" w:color="auto" w:fill="auto"/>
          </w:tcPr>
          <w:p w:rsidR="00F77690" w:rsidRPr="00CA100A" w:rsidRDefault="00F77690" w:rsidP="00CE1BFC">
            <w:r w:rsidRPr="005F2F8D">
              <w:t>Требования к содержанию и составу заявки на участие в электронном аукционе</w:t>
            </w:r>
          </w:p>
        </w:tc>
        <w:tc>
          <w:tcPr>
            <w:tcW w:w="6804" w:type="dxa"/>
            <w:shd w:val="clear" w:color="auto" w:fill="auto"/>
          </w:tcPr>
          <w:p w:rsidR="00F77690" w:rsidRPr="00CA100A" w:rsidRDefault="00F77690" w:rsidP="00F77690">
            <w:pPr>
              <w:jc w:val="both"/>
            </w:pPr>
            <w: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22E67">
              <w:rPr>
                <w:b/>
              </w:rPr>
              <w:t>требуется</w:t>
            </w:r>
            <w:r>
              <w:rPr>
                <w:b/>
              </w:rPr>
              <w:t>.</w:t>
            </w:r>
          </w:p>
        </w:tc>
      </w:tr>
    </w:tbl>
    <w:p w:rsidR="00F77690" w:rsidRPr="008A1652" w:rsidRDefault="00F77690" w:rsidP="008A1652">
      <w:pPr>
        <w:suppressAutoHyphens/>
        <w:ind w:left="33" w:firstLine="142"/>
      </w:pPr>
    </w:p>
    <w:p w:rsidR="00CA100A" w:rsidRPr="00CA100A" w:rsidRDefault="00CA100A" w:rsidP="00CA100A">
      <w:pPr>
        <w:jc w:val="both"/>
      </w:pPr>
      <w:r w:rsidRPr="00CA100A">
        <w:t>2.</w:t>
      </w:r>
      <w:r w:rsidR="008A1652">
        <w:t>6</w:t>
      </w:r>
      <w:r w:rsidRPr="00CA100A">
        <w:t>.</w:t>
      </w:r>
      <w:r w:rsidRPr="00CA100A">
        <w:tab/>
        <w:t>Пункт 39 части I «Сведения  о проводимом аукционе в электронной форме» документации об аукционе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читать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887"/>
        <w:gridCol w:w="6447"/>
      </w:tblGrid>
      <w:tr w:rsidR="00CA100A" w:rsidRPr="00CA100A" w:rsidTr="00751518">
        <w:tc>
          <w:tcPr>
            <w:tcW w:w="675" w:type="dxa"/>
            <w:shd w:val="clear" w:color="auto" w:fill="auto"/>
          </w:tcPr>
          <w:p w:rsidR="00CA100A" w:rsidRPr="00CA100A" w:rsidRDefault="00CA100A" w:rsidP="00CA100A">
            <w:pPr>
              <w:jc w:val="both"/>
            </w:pPr>
            <w:r w:rsidRPr="00CA100A">
              <w:t>39.</w:t>
            </w:r>
          </w:p>
        </w:tc>
        <w:tc>
          <w:tcPr>
            <w:tcW w:w="2977" w:type="dxa"/>
            <w:shd w:val="clear" w:color="auto" w:fill="auto"/>
          </w:tcPr>
          <w:p w:rsidR="00CA100A" w:rsidRPr="00CA100A" w:rsidRDefault="00CA100A" w:rsidP="00CA100A">
            <w:r w:rsidRPr="00CA100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804" w:type="dxa"/>
            <w:shd w:val="clear" w:color="auto" w:fill="auto"/>
          </w:tcPr>
          <w:p w:rsidR="00CA100A" w:rsidRPr="00CA100A" w:rsidRDefault="00CA100A" w:rsidP="00CA100A">
            <w:pPr>
              <w:spacing w:before="120"/>
              <w:ind w:firstLine="708"/>
              <w:jc w:val="both"/>
            </w:pPr>
            <w:r w:rsidRPr="00CA100A">
              <w:t>В соответствии с Постановлением Правительства РФ от 29.12.2015 № 1457 «</w:t>
            </w:r>
            <w:hyperlink r:id="rId10" w:tgtFrame="_" w:history="1">
              <w:r w:rsidRPr="00CA100A">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hyperlink>
            <w:r w:rsidRPr="00CA100A">
              <w:t xml:space="preserve">», принятого во исполнение подпункта «б» пункта 1 Указа Президента РФ от 28.11.2015 № 583» читать в новой редакции:   </w:t>
            </w:r>
            <w:r w:rsidRPr="00CA100A">
              <w:rPr>
                <w:b/>
              </w:rPr>
              <w:t>Установлено</w:t>
            </w:r>
            <w:r w:rsidRPr="00CA100A">
              <w:t>;</w:t>
            </w:r>
          </w:p>
          <w:p w:rsidR="00CA100A" w:rsidRPr="00CA100A" w:rsidRDefault="00CA100A" w:rsidP="00CA100A">
            <w:pPr>
              <w:autoSpaceDE w:val="0"/>
              <w:autoSpaceDN w:val="0"/>
              <w:adjustRightInd w:val="0"/>
              <w:spacing w:before="108" w:after="108"/>
              <w:jc w:val="both"/>
              <w:outlineLvl w:val="0"/>
              <w:rPr>
                <w:rFonts w:eastAsia="Calibri" w:cs="Arial"/>
                <w:b/>
                <w:bCs/>
                <w:lang w:eastAsia="en-US"/>
              </w:rPr>
            </w:pPr>
            <w:r w:rsidRPr="00CA100A">
              <w:rPr>
                <w:rFonts w:eastAsia="Calibri" w:cs="Arial"/>
                <w:bCs/>
                <w:lang w:eastAsia="en-US"/>
              </w:rPr>
              <w:t xml:space="preserve">           </w:t>
            </w:r>
            <w:r w:rsidRPr="00CA100A">
              <w:rPr>
                <w:rFonts w:eastAsia="Calibri" w:cs="Arial"/>
                <w:bCs/>
                <w:color w:val="26282F"/>
                <w:lang w:eastAsia="en-US"/>
              </w:rPr>
              <w:t>В соответствии с</w:t>
            </w:r>
            <w:r w:rsidRPr="00CA100A">
              <w:rPr>
                <w:rFonts w:eastAsia="Calibri" w:cs="Arial"/>
                <w:b/>
                <w:bCs/>
                <w:color w:val="26282F"/>
                <w:lang w:eastAsia="en-US"/>
              </w:rPr>
              <w:t xml:space="preserve"> </w:t>
            </w:r>
            <w:r w:rsidRPr="00CA100A">
              <w:rPr>
                <w:rFonts w:eastAsia="Calibri" w:cs="Arial"/>
                <w:bCs/>
                <w:lang w:eastAsia="en-US"/>
              </w:rPr>
              <w:t xml:space="preserve">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CA100A">
              <w:rPr>
                <w:rFonts w:eastAsia="Calibri" w:cs="Arial"/>
                <w:b/>
                <w:bCs/>
                <w:lang w:eastAsia="en-US"/>
              </w:rPr>
              <w:t>Не установлено;</w:t>
            </w:r>
          </w:p>
          <w:p w:rsidR="00CA100A" w:rsidRDefault="00CA100A" w:rsidP="00CA100A">
            <w:pPr>
              <w:jc w:val="both"/>
              <w:rPr>
                <w:rFonts w:eastAsia="Calibri"/>
                <w:b/>
                <w:bCs/>
                <w:color w:val="26282F"/>
                <w:lang w:eastAsia="en-US"/>
              </w:rPr>
            </w:pPr>
            <w:r w:rsidRPr="00CA100A">
              <w:rPr>
                <w:rFonts w:eastAsia="Calibri"/>
                <w:bCs/>
                <w:color w:val="26282F"/>
                <w:lang w:eastAsia="en-US"/>
              </w:rPr>
              <w:t xml:space="preserve">        </w:t>
            </w:r>
            <w:r w:rsidRPr="00CA100A">
              <w:rPr>
                <w:b/>
              </w:rPr>
              <w:t xml:space="preserve"> </w:t>
            </w:r>
            <w:r w:rsidRPr="00CA100A">
              <w:t>В соответствии</w:t>
            </w:r>
            <w:r w:rsidRPr="00CA100A">
              <w:rPr>
                <w:b/>
              </w:rPr>
              <w:t xml:space="preserve"> </w:t>
            </w:r>
            <w:r w:rsidRPr="00CA100A">
              <w:t>с</w:t>
            </w:r>
            <w:r w:rsidRPr="00CA100A">
              <w:rPr>
                <w:rFonts w:eastAsia="Calibri"/>
                <w:bCs/>
                <w:color w:val="26282F"/>
                <w:lang w:eastAsia="en-US"/>
              </w:rPr>
              <w:t xml:space="preserve">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751518">
              <w:rPr>
                <w:rFonts w:eastAsia="Calibri"/>
                <w:b/>
                <w:bCs/>
                <w:color w:val="26282F"/>
                <w:lang w:eastAsia="en-US"/>
              </w:rPr>
              <w:t>Не установлено;</w:t>
            </w:r>
          </w:p>
          <w:p w:rsidR="00751518" w:rsidRPr="00CA100A" w:rsidRDefault="00751518" w:rsidP="000B2430">
            <w:pPr>
              <w:jc w:val="both"/>
            </w:pPr>
            <w:r>
              <w:rPr>
                <w:rFonts w:eastAsia="Calibri"/>
                <w:color w:val="006600"/>
                <w:lang w:eastAsia="en-US"/>
              </w:rPr>
              <w:t xml:space="preserve">         </w:t>
            </w:r>
            <w:r w:rsidRPr="00751518">
              <w:rPr>
                <w:rFonts w:eastAsia="Calibri"/>
                <w:color w:val="000000" w:themeColor="text1"/>
                <w:lang w:eastAsia="en-US"/>
              </w:rPr>
              <w:t xml:space="preserve">В соответствии с </w:t>
            </w:r>
            <w:r w:rsidRPr="00751518">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3A393F">
              <w:rPr>
                <w:color w:val="FF0000"/>
              </w:rPr>
              <w:t xml:space="preserve"> </w:t>
            </w:r>
            <w:r w:rsidRPr="00751518">
              <w:rPr>
                <w:b/>
                <w:color w:val="000000" w:themeColor="text1"/>
              </w:rPr>
              <w:t>Не установлено</w:t>
            </w:r>
            <w:r w:rsidR="000B2430">
              <w:rPr>
                <w:b/>
                <w:color w:val="000000" w:themeColor="text1"/>
              </w:rPr>
              <w:t>.</w:t>
            </w:r>
            <w:r>
              <w:rPr>
                <w:rFonts w:eastAsia="Calibri"/>
                <w:color w:val="006600"/>
                <w:lang w:eastAsia="en-US"/>
              </w:rPr>
              <w:t xml:space="preserve">         </w:t>
            </w:r>
          </w:p>
        </w:tc>
      </w:tr>
    </w:tbl>
    <w:p w:rsidR="00EF113F" w:rsidRDefault="00EF113F" w:rsidP="00F77690">
      <w:pPr>
        <w:rPr>
          <w:b/>
        </w:rPr>
      </w:pPr>
    </w:p>
    <w:p w:rsidR="004A02E7" w:rsidRPr="001D4259" w:rsidRDefault="00F77690" w:rsidP="00F77690">
      <w:r>
        <w:rPr>
          <w:b/>
        </w:rPr>
        <w:lastRenderedPageBreak/>
        <w:t>Г</w:t>
      </w:r>
      <w:r w:rsidR="00843057">
        <w:rPr>
          <w:b/>
        </w:rPr>
        <w:t>лав</w:t>
      </w:r>
      <w:r>
        <w:rPr>
          <w:b/>
        </w:rPr>
        <w:t>а</w:t>
      </w:r>
      <w:r w:rsidR="00843057">
        <w:rPr>
          <w:b/>
        </w:rPr>
        <w:t xml:space="preserve"> администрации города </w:t>
      </w:r>
      <w:proofErr w:type="spellStart"/>
      <w:r w:rsidR="00843057">
        <w:rPr>
          <w:b/>
        </w:rPr>
        <w:t>Югорска</w:t>
      </w:r>
      <w:proofErr w:type="spellEnd"/>
      <w:r w:rsidR="00843057">
        <w:rPr>
          <w:b/>
        </w:rPr>
        <w:t xml:space="preserve">  </w:t>
      </w:r>
      <w:r w:rsidR="00856510">
        <w:rPr>
          <w:b/>
        </w:rPr>
        <w:t xml:space="preserve"> </w:t>
      </w:r>
      <w:r w:rsidR="00843057">
        <w:rPr>
          <w:b/>
        </w:rPr>
        <w:t xml:space="preserve">                               </w:t>
      </w:r>
      <w:r w:rsidR="00F36508">
        <w:rPr>
          <w:b/>
        </w:rPr>
        <w:t xml:space="preserve">                                    </w:t>
      </w:r>
      <w:r>
        <w:rPr>
          <w:b/>
        </w:rPr>
        <w:t xml:space="preserve">М.И. </w:t>
      </w:r>
      <w:proofErr w:type="spellStart"/>
      <w:r>
        <w:rPr>
          <w:b/>
        </w:rPr>
        <w:t>Бодак</w:t>
      </w:r>
      <w:proofErr w:type="spellEnd"/>
    </w:p>
    <w:sectPr w:rsidR="004A02E7" w:rsidRPr="001D4259" w:rsidSect="00751518">
      <w:pgSz w:w="11906" w:h="16838" w:code="9"/>
      <w:pgMar w:top="397" w:right="127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7"/>
  </w:num>
  <w:num w:numId="4">
    <w:abstractNumId w:val="9"/>
  </w:num>
  <w:num w:numId="5">
    <w:abstractNumId w:val="13"/>
  </w:num>
  <w:num w:numId="6">
    <w:abstractNumId w:val="7"/>
  </w:num>
  <w:num w:numId="7">
    <w:abstractNumId w:val="0"/>
  </w:num>
  <w:num w:numId="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num>
  <w:num w:numId="12">
    <w:abstractNumId w:val="5"/>
  </w:num>
  <w:num w:numId="13">
    <w:abstractNumId w:val="6"/>
  </w:num>
  <w:num w:numId="14">
    <w:abstractNumId w:val="15"/>
  </w:num>
  <w:num w:numId="15">
    <w:abstractNumId w:val="16"/>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B2430"/>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E6"/>
    <w:rsid w:val="004D183B"/>
    <w:rsid w:val="004E0DB3"/>
    <w:rsid w:val="004F1C85"/>
    <w:rsid w:val="004F2564"/>
    <w:rsid w:val="00505E14"/>
    <w:rsid w:val="005075D3"/>
    <w:rsid w:val="00511418"/>
    <w:rsid w:val="005144D5"/>
    <w:rsid w:val="005272F1"/>
    <w:rsid w:val="00530B53"/>
    <w:rsid w:val="00533237"/>
    <w:rsid w:val="00536C2D"/>
    <w:rsid w:val="00542B89"/>
    <w:rsid w:val="0054401C"/>
    <w:rsid w:val="00546A65"/>
    <w:rsid w:val="00551657"/>
    <w:rsid w:val="00552409"/>
    <w:rsid w:val="005546CC"/>
    <w:rsid w:val="00561020"/>
    <w:rsid w:val="00562F23"/>
    <w:rsid w:val="00566A80"/>
    <w:rsid w:val="005672E0"/>
    <w:rsid w:val="00570283"/>
    <w:rsid w:val="00570D13"/>
    <w:rsid w:val="0057341F"/>
    <w:rsid w:val="0059618E"/>
    <w:rsid w:val="005A41D8"/>
    <w:rsid w:val="005A473C"/>
    <w:rsid w:val="005B00ED"/>
    <w:rsid w:val="005B1861"/>
    <w:rsid w:val="005B554B"/>
    <w:rsid w:val="005D4B5A"/>
    <w:rsid w:val="005F0253"/>
    <w:rsid w:val="005F0EBE"/>
    <w:rsid w:val="005F5242"/>
    <w:rsid w:val="005F76B0"/>
    <w:rsid w:val="006369C2"/>
    <w:rsid w:val="006519B2"/>
    <w:rsid w:val="00653CD9"/>
    <w:rsid w:val="006564A8"/>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1518"/>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A1652"/>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064E7"/>
    <w:rsid w:val="00A10133"/>
    <w:rsid w:val="00A10AA0"/>
    <w:rsid w:val="00A13D73"/>
    <w:rsid w:val="00A23C64"/>
    <w:rsid w:val="00A24488"/>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4A3B"/>
    <w:rsid w:val="00B85AA1"/>
    <w:rsid w:val="00B918C9"/>
    <w:rsid w:val="00B91FEB"/>
    <w:rsid w:val="00B94313"/>
    <w:rsid w:val="00BB1B42"/>
    <w:rsid w:val="00BB6660"/>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100A"/>
    <w:rsid w:val="00CA6390"/>
    <w:rsid w:val="00CC2BC4"/>
    <w:rsid w:val="00CC582E"/>
    <w:rsid w:val="00CD73B9"/>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A5EF2"/>
    <w:rsid w:val="00DC1486"/>
    <w:rsid w:val="00DC2DD7"/>
    <w:rsid w:val="00DC564C"/>
    <w:rsid w:val="00DD6B41"/>
    <w:rsid w:val="00DE533D"/>
    <w:rsid w:val="00DE6EBC"/>
    <w:rsid w:val="00DE788D"/>
    <w:rsid w:val="00E030A6"/>
    <w:rsid w:val="00E05895"/>
    <w:rsid w:val="00E05A7B"/>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EF113F"/>
    <w:rsid w:val="00F01174"/>
    <w:rsid w:val="00F07ECE"/>
    <w:rsid w:val="00F1650A"/>
    <w:rsid w:val="00F16D6F"/>
    <w:rsid w:val="00F21BD0"/>
    <w:rsid w:val="00F23EB8"/>
    <w:rsid w:val="00F266DB"/>
    <w:rsid w:val="00F34FBD"/>
    <w:rsid w:val="00F36508"/>
    <w:rsid w:val="00F55988"/>
    <w:rsid w:val="00F63494"/>
    <w:rsid w:val="00F63945"/>
    <w:rsid w:val="00F63BB2"/>
    <w:rsid w:val="00F710E5"/>
    <w:rsid w:val="00F77690"/>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gz.admhmao.ru/wps/portal/gz/home/docs/docs_rf?1dmy&amp;urile=wcm%3apath%3a/wps/wcm/connect/web+content/hmao-departments/gz/legislation/zakony_rf/postanovleniya_rf/1e6d2c2e-afb6-4cb1-bfd0-79d480192e2b"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epgz.admhmao.ru/wps/portal/gz/home/docs/docs_rf?1dmy&amp;urile=wcm%3apath%3a/wps/wcm/connect/web+content/hmao-departments/gz/legislation/zakony_rf/postanovleniya_rf/1e6d2c2e-afb6-4cb1-bfd0-79d480192e2b" TargetMode="External"/><Relationship Id="rId4" Type="http://schemas.microsoft.com/office/2007/relationships/stylesWithEffects" Target="stylesWithEffects.xml"/><Relationship Id="rId9" Type="http://schemas.openxmlformats.org/officeDocument/2006/relationships/hyperlink" Target="http://www.depgz.admhmao.ru/wps/portal/gz/home/docs/docs_rf?1dmy&amp;urile=wcm%3apath%3a/wps/wcm/connect/web+content/hmao-departments/gz/legislation/zakony_rf/postanovleniya_rf/1e6d2c2e-afb6-4cb1-bfd0-79d480192e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AF2C-488E-470F-A7D2-DBA7CCAC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Боярищева Татьяна Федоровна</cp:lastModifiedBy>
  <cp:revision>16</cp:revision>
  <cp:lastPrinted>2016-02-08T07:26:00Z</cp:lastPrinted>
  <dcterms:created xsi:type="dcterms:W3CDTF">2015-04-07T05:03:00Z</dcterms:created>
  <dcterms:modified xsi:type="dcterms:W3CDTF">2016-02-10T11:48:00Z</dcterms:modified>
</cp:coreProperties>
</file>